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5849" w14:textId="77777777" w:rsidR="00720D87" w:rsidRPr="00985807" w:rsidRDefault="00720D87" w:rsidP="00B36BDA">
      <w:pPr>
        <w:rPr>
          <w:rFonts w:ascii="Arial" w:hAnsi="Arial" w:cs="Arial"/>
          <w:b/>
          <w:szCs w:val="24"/>
          <w:u w:val="single"/>
        </w:rPr>
      </w:pPr>
    </w:p>
    <w:p w14:paraId="6074B0F9" w14:textId="77777777" w:rsidR="00F2721B" w:rsidRPr="00985807" w:rsidRDefault="00457167" w:rsidP="00B36BDA">
      <w:pPr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t>OP14</w:t>
      </w:r>
      <w:r w:rsidR="00DD5CAB" w:rsidRPr="00985807">
        <w:rPr>
          <w:rFonts w:ascii="Arial" w:hAnsi="Arial" w:cs="Arial"/>
          <w:i/>
          <w:szCs w:val="24"/>
          <w:u w:val="single"/>
        </w:rPr>
        <w:tab/>
      </w:r>
      <w:r>
        <w:rPr>
          <w:rFonts w:ascii="Arial" w:hAnsi="Arial" w:cs="Arial"/>
          <w:i/>
          <w:szCs w:val="24"/>
          <w:u w:val="single"/>
        </w:rPr>
        <w:tab/>
        <w:t>Referral and Matching of New Placements</w:t>
      </w:r>
    </w:p>
    <w:p w14:paraId="77B63318" w14:textId="77777777" w:rsidR="00964B9C" w:rsidRPr="00985807" w:rsidRDefault="00964B9C" w:rsidP="00B36BDA">
      <w:pPr>
        <w:rPr>
          <w:rFonts w:ascii="Arial" w:hAnsi="Arial" w:cs="Arial"/>
          <w:b/>
          <w:szCs w:val="24"/>
          <w:u w:val="single"/>
        </w:rPr>
      </w:pPr>
    </w:p>
    <w:p w14:paraId="23D31C7A" w14:textId="77777777" w:rsidR="008401D2" w:rsidRPr="0066120A" w:rsidRDefault="00FF6F4E" w:rsidP="008401D2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FF6F4E">
        <w:rPr>
          <w:rFonts w:ascii="Arial" w:hAnsi="Arial" w:cs="Arial"/>
          <w:b/>
          <w:szCs w:val="24"/>
        </w:rPr>
        <w:t>Policy Statement</w:t>
      </w:r>
    </w:p>
    <w:p w14:paraId="506DA8E2" w14:textId="0092269A" w:rsidR="00477FC3" w:rsidRPr="000E5C0F" w:rsidRDefault="0066120A" w:rsidP="000E5C0F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Shared Lives South West (SLSW) believes that the matching of new placements is </w:t>
      </w:r>
      <w:r w:rsidR="00165B83">
        <w:rPr>
          <w:rFonts w:ascii="Arial" w:hAnsi="Arial" w:cs="Arial"/>
          <w:szCs w:val="24"/>
        </w:rPr>
        <w:t>the cornerston</w:t>
      </w:r>
      <w:r w:rsidR="00807C3A">
        <w:rPr>
          <w:rFonts w:ascii="Arial" w:hAnsi="Arial" w:cs="Arial"/>
          <w:szCs w:val="24"/>
        </w:rPr>
        <w:t xml:space="preserve">e of safe, effective and lasting Shared Lives placements. </w:t>
      </w:r>
      <w:r w:rsidR="00477FC3" w:rsidRPr="000E5C0F">
        <w:rPr>
          <w:rFonts w:ascii="Arial" w:hAnsi="Arial" w:cs="Arial"/>
          <w:szCs w:val="24"/>
        </w:rPr>
        <w:t xml:space="preserve"> </w:t>
      </w:r>
    </w:p>
    <w:p w14:paraId="30513BC6" w14:textId="472F76C3" w:rsidR="00807C3A" w:rsidRDefault="00807C3A" w:rsidP="00BB6059">
      <w:pPr>
        <w:rPr>
          <w:rFonts w:ascii="Arial" w:hAnsi="Arial" w:cs="Arial"/>
          <w:b/>
          <w:szCs w:val="24"/>
        </w:rPr>
      </w:pPr>
    </w:p>
    <w:p w14:paraId="02EBE9CA" w14:textId="77777777" w:rsidR="007E2EC9" w:rsidRPr="00BB6059" w:rsidRDefault="007E2EC9" w:rsidP="00BB6059">
      <w:pPr>
        <w:rPr>
          <w:rFonts w:ascii="Arial" w:hAnsi="Arial" w:cs="Arial"/>
          <w:b/>
          <w:szCs w:val="24"/>
        </w:rPr>
      </w:pPr>
    </w:p>
    <w:p w14:paraId="288BD729" w14:textId="021FD653" w:rsidR="000E5C0F" w:rsidRPr="000E5C0F" w:rsidRDefault="00F76EC7" w:rsidP="000E5C0F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General Principles</w:t>
      </w:r>
    </w:p>
    <w:p w14:paraId="0330DDC8" w14:textId="5CD791CA" w:rsidR="000E5C0F" w:rsidRPr="000E5C0F" w:rsidRDefault="00EC6D77" w:rsidP="00807C3A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C</w:t>
      </w:r>
      <w:r w:rsidR="000E5C0F">
        <w:rPr>
          <w:rFonts w:ascii="Arial" w:hAnsi="Arial" w:cs="Arial"/>
          <w:szCs w:val="24"/>
        </w:rPr>
        <w:t>omprehensive guidance on the step-by-step process for Referrals and Matching</w:t>
      </w:r>
      <w:r>
        <w:rPr>
          <w:rFonts w:ascii="Arial" w:hAnsi="Arial" w:cs="Arial"/>
          <w:szCs w:val="24"/>
        </w:rPr>
        <w:t xml:space="preserve"> will be provided for SLSW employees.</w:t>
      </w:r>
    </w:p>
    <w:p w14:paraId="57E34CDE" w14:textId="77777777" w:rsidR="000E5C0F" w:rsidRPr="000E5C0F" w:rsidRDefault="000E5C0F" w:rsidP="000E5C0F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5E8B7DDB" w14:textId="2F0412D7" w:rsidR="00337D16" w:rsidRPr="00337D16" w:rsidRDefault="00337D16" w:rsidP="00337D16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SLSW will respond to all referrals within 7 days.</w:t>
      </w:r>
    </w:p>
    <w:p w14:paraId="01B84570" w14:textId="77777777" w:rsidR="00337D16" w:rsidRPr="00337D16" w:rsidRDefault="00337D16" w:rsidP="00337D16">
      <w:pPr>
        <w:pStyle w:val="ListParagraph"/>
        <w:rPr>
          <w:rFonts w:ascii="Arial" w:hAnsi="Arial" w:cs="Arial"/>
          <w:b/>
          <w:szCs w:val="24"/>
        </w:rPr>
      </w:pPr>
    </w:p>
    <w:p w14:paraId="4A5388EA" w14:textId="1F7F2244" w:rsidR="00337D16" w:rsidRPr="00337D16" w:rsidRDefault="00337D16" w:rsidP="00337D16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Clear</w:t>
      </w:r>
      <w:r w:rsidR="00480DA3">
        <w:rPr>
          <w:rFonts w:ascii="Arial" w:hAnsi="Arial" w:cs="Arial"/>
          <w:szCs w:val="24"/>
        </w:rPr>
        <w:t xml:space="preserve"> and regular</w:t>
      </w:r>
      <w:r>
        <w:rPr>
          <w:rFonts w:ascii="Arial" w:hAnsi="Arial" w:cs="Arial"/>
          <w:szCs w:val="24"/>
        </w:rPr>
        <w:t xml:space="preserve"> communication is required by all parties throughout the referral and matching process.</w:t>
      </w:r>
    </w:p>
    <w:p w14:paraId="40FCBF56" w14:textId="77777777" w:rsidR="00477FC3" w:rsidRPr="00477FC3" w:rsidRDefault="00477FC3" w:rsidP="00477FC3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36CC3170" w14:textId="5005A6A4" w:rsidR="00807C3A" w:rsidRPr="006A556F" w:rsidRDefault="00807C3A" w:rsidP="00807C3A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SLSW Carers</w:t>
      </w:r>
      <w:r w:rsidR="00EC6D77">
        <w:rPr>
          <w:rFonts w:ascii="Arial" w:hAnsi="Arial" w:cs="Arial"/>
          <w:szCs w:val="24"/>
        </w:rPr>
        <w:t xml:space="preserve"> must</w:t>
      </w:r>
      <w:r>
        <w:rPr>
          <w:rFonts w:ascii="Arial" w:hAnsi="Arial" w:cs="Arial"/>
          <w:szCs w:val="24"/>
        </w:rPr>
        <w:t xml:space="preserve"> respond to suggested referrals within seven day</w:t>
      </w:r>
      <w:r w:rsidR="001769F8">
        <w:rPr>
          <w:rFonts w:ascii="Arial" w:hAnsi="Arial" w:cs="Arial"/>
          <w:szCs w:val="24"/>
        </w:rPr>
        <w:t>s.</w:t>
      </w:r>
    </w:p>
    <w:p w14:paraId="529175BF" w14:textId="77777777" w:rsidR="00807C3A" w:rsidRPr="00B53292" w:rsidRDefault="00807C3A" w:rsidP="00807C3A">
      <w:pPr>
        <w:pStyle w:val="ListParagraph"/>
        <w:ind w:left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4F7E217B" w14:textId="60E9CBD9" w:rsidR="00480DA3" w:rsidRPr="007C5128" w:rsidRDefault="00807C3A" w:rsidP="00480DA3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SLSW </w:t>
      </w:r>
      <w:r w:rsidR="007C5128">
        <w:rPr>
          <w:rFonts w:ascii="Arial" w:hAnsi="Arial" w:cs="Arial"/>
          <w:szCs w:val="24"/>
        </w:rPr>
        <w:t>will</w:t>
      </w:r>
      <w:r>
        <w:rPr>
          <w:rFonts w:ascii="Arial" w:hAnsi="Arial" w:cs="Arial"/>
          <w:szCs w:val="24"/>
        </w:rPr>
        <w:t xml:space="preserve"> ensur</w:t>
      </w:r>
      <w:r w:rsidR="007C5128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that the support needs and preferences of referred individuals can be met by the suitable level of skills and values of the carer/s and their household environment and location</w:t>
      </w:r>
      <w:r w:rsidR="00337D16">
        <w:rPr>
          <w:rFonts w:ascii="Arial" w:hAnsi="Arial" w:cs="Arial"/>
          <w:szCs w:val="24"/>
        </w:rPr>
        <w:t>.</w:t>
      </w:r>
    </w:p>
    <w:p w14:paraId="0D6C66CC" w14:textId="77777777" w:rsidR="00477FC3" w:rsidRPr="00477FC3" w:rsidRDefault="00477FC3" w:rsidP="00477FC3">
      <w:pPr>
        <w:pStyle w:val="ListParagraph"/>
        <w:rPr>
          <w:rFonts w:ascii="Arial" w:hAnsi="Arial" w:cs="Arial"/>
          <w:b/>
          <w:szCs w:val="24"/>
        </w:rPr>
      </w:pPr>
    </w:p>
    <w:p w14:paraId="311F00BF" w14:textId="16447439" w:rsidR="00477FC3" w:rsidRPr="005425DB" w:rsidRDefault="00477FC3" w:rsidP="00807C3A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SLSW will be as flexible as possible throughout the referral and matching process.</w:t>
      </w:r>
    </w:p>
    <w:p w14:paraId="29EC9C0D" w14:textId="77777777" w:rsidR="005425DB" w:rsidRPr="005425DB" w:rsidRDefault="005425DB" w:rsidP="005425DB">
      <w:pPr>
        <w:pStyle w:val="ListParagraph"/>
        <w:rPr>
          <w:rFonts w:ascii="Arial" w:hAnsi="Arial" w:cs="Arial"/>
          <w:b/>
          <w:szCs w:val="24"/>
        </w:rPr>
      </w:pPr>
    </w:p>
    <w:p w14:paraId="22E91DCC" w14:textId="58A34CD7" w:rsidR="00807C3A" w:rsidRPr="00337D16" w:rsidRDefault="00337D16" w:rsidP="00B02B5C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No SLSW placement can start without funding agreed by the local authority or the self-funder responsible for funding the placement</w:t>
      </w:r>
      <w:r w:rsidR="007B61CE">
        <w:rPr>
          <w:rFonts w:ascii="Arial" w:hAnsi="Arial" w:cs="Arial"/>
          <w:szCs w:val="24"/>
        </w:rPr>
        <w:t>.</w:t>
      </w:r>
      <w:r w:rsidR="005A79F8">
        <w:rPr>
          <w:rFonts w:ascii="Arial" w:hAnsi="Arial" w:cs="Arial"/>
          <w:szCs w:val="24"/>
        </w:rPr>
        <w:t xml:space="preserve"> </w:t>
      </w:r>
    </w:p>
    <w:p w14:paraId="06ED28A4" w14:textId="77777777" w:rsidR="00337D16" w:rsidRPr="00337D16" w:rsidRDefault="00337D16" w:rsidP="00337D16">
      <w:pPr>
        <w:pStyle w:val="ListParagraph"/>
        <w:rPr>
          <w:rFonts w:ascii="Arial" w:hAnsi="Arial" w:cs="Arial"/>
          <w:b/>
          <w:szCs w:val="24"/>
        </w:rPr>
      </w:pPr>
    </w:p>
    <w:p w14:paraId="0BC7B165" w14:textId="578C576C" w:rsidR="00337D16" w:rsidRPr="00B02B5C" w:rsidRDefault="00337D16" w:rsidP="00B02B5C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SLSW will regularly provide local authorities with carer vacancy information to support referrals being made to the organisation.</w:t>
      </w:r>
    </w:p>
    <w:p w14:paraId="0F75808B" w14:textId="77777777" w:rsidR="00807C3A" w:rsidRDefault="00807C3A" w:rsidP="00807C3A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29D10A39" w14:textId="77777777" w:rsidR="00807C3A" w:rsidRDefault="00807C3A" w:rsidP="00807C3A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16A9518D" w14:textId="0784BCD3" w:rsidR="00044F27" w:rsidRPr="000E5C0F" w:rsidRDefault="000E5C0F" w:rsidP="006C0EAE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Referral </w:t>
      </w:r>
    </w:p>
    <w:p w14:paraId="636F9E4D" w14:textId="3F958D59" w:rsidR="00B356DA" w:rsidRDefault="005A79F8" w:rsidP="00B356DA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</w:t>
      </w:r>
      <w:r w:rsidR="00B0232D">
        <w:rPr>
          <w:rFonts w:ascii="Arial" w:hAnsi="Arial" w:cs="Arial"/>
          <w:szCs w:val="24"/>
        </w:rPr>
        <w:t>comprehensive screening of the referred person</w:t>
      </w:r>
      <w:r w:rsidR="006C0EAE">
        <w:rPr>
          <w:rFonts w:ascii="Arial" w:hAnsi="Arial" w:cs="Arial"/>
          <w:szCs w:val="24"/>
        </w:rPr>
        <w:t>’</w:t>
      </w:r>
      <w:r w:rsidR="00B0232D">
        <w:rPr>
          <w:rFonts w:ascii="Arial" w:hAnsi="Arial" w:cs="Arial"/>
          <w:szCs w:val="24"/>
        </w:rPr>
        <w:t>s needs</w:t>
      </w:r>
      <w:r w:rsidR="00B356DA">
        <w:rPr>
          <w:rFonts w:ascii="Arial" w:hAnsi="Arial" w:cs="Arial"/>
          <w:szCs w:val="24"/>
        </w:rPr>
        <w:t xml:space="preserve"> will take place and will be cross referenced to match with a </w:t>
      </w:r>
      <w:r w:rsidR="00B02B5C">
        <w:rPr>
          <w:rFonts w:ascii="Arial" w:hAnsi="Arial" w:cs="Arial"/>
          <w:szCs w:val="24"/>
        </w:rPr>
        <w:t>carer’s</w:t>
      </w:r>
      <w:r w:rsidR="00B356DA">
        <w:rPr>
          <w:rFonts w:ascii="Arial" w:hAnsi="Arial" w:cs="Arial"/>
          <w:szCs w:val="24"/>
        </w:rPr>
        <w:t xml:space="preserve"> skillset and household situation.</w:t>
      </w:r>
      <w:r w:rsidR="007B61CE">
        <w:rPr>
          <w:rFonts w:ascii="Arial" w:hAnsi="Arial" w:cs="Arial"/>
          <w:szCs w:val="24"/>
        </w:rPr>
        <w:t xml:space="preserve"> This information will be shared between the referred person and the carer. </w:t>
      </w:r>
    </w:p>
    <w:p w14:paraId="524B2556" w14:textId="77777777" w:rsidR="00B356DA" w:rsidRPr="00B356DA" w:rsidRDefault="00B356DA" w:rsidP="00B356DA">
      <w:pPr>
        <w:pStyle w:val="ListParagraph"/>
        <w:ind w:left="567"/>
        <w:rPr>
          <w:rFonts w:ascii="Arial" w:hAnsi="Arial" w:cs="Arial"/>
          <w:szCs w:val="24"/>
        </w:rPr>
      </w:pPr>
    </w:p>
    <w:p w14:paraId="33B1D36C" w14:textId="297133E9" w:rsidR="000E5C0F" w:rsidRPr="00B356DA" w:rsidRDefault="00B356DA" w:rsidP="00B356DA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B356DA">
        <w:rPr>
          <w:rFonts w:ascii="Arial" w:hAnsi="Arial" w:cs="Arial"/>
          <w:szCs w:val="24"/>
        </w:rPr>
        <w:t>To enable</w:t>
      </w:r>
      <w:r w:rsidR="000E5C0F" w:rsidRPr="00B356D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this, </w:t>
      </w:r>
      <w:r w:rsidR="000E5C0F" w:rsidRPr="00B356DA">
        <w:rPr>
          <w:rFonts w:ascii="Arial" w:hAnsi="Arial" w:cs="Arial"/>
          <w:szCs w:val="24"/>
        </w:rPr>
        <w:t xml:space="preserve">key personal </w:t>
      </w:r>
      <w:r w:rsidR="005425DB" w:rsidRPr="00B356DA">
        <w:rPr>
          <w:rFonts w:ascii="Arial" w:hAnsi="Arial" w:cs="Arial"/>
          <w:szCs w:val="24"/>
        </w:rPr>
        <w:t>information</w:t>
      </w:r>
      <w:r w:rsidR="000E5C0F" w:rsidRPr="00B356DA">
        <w:rPr>
          <w:rFonts w:ascii="Arial" w:hAnsi="Arial" w:cs="Arial"/>
          <w:szCs w:val="24"/>
        </w:rPr>
        <w:t xml:space="preserve"> of the </w:t>
      </w:r>
      <w:r w:rsidR="005425DB" w:rsidRPr="00B356DA">
        <w:rPr>
          <w:rFonts w:ascii="Arial" w:hAnsi="Arial" w:cs="Arial"/>
          <w:szCs w:val="24"/>
        </w:rPr>
        <w:t>ind</w:t>
      </w:r>
      <w:r w:rsidR="00936328">
        <w:rPr>
          <w:rFonts w:ascii="Arial" w:hAnsi="Arial" w:cs="Arial"/>
          <w:szCs w:val="24"/>
        </w:rPr>
        <w:t>i</w:t>
      </w:r>
      <w:r w:rsidR="005425DB" w:rsidRPr="00B356DA">
        <w:rPr>
          <w:rFonts w:ascii="Arial" w:hAnsi="Arial" w:cs="Arial"/>
          <w:szCs w:val="24"/>
        </w:rPr>
        <w:t>vi</w:t>
      </w:r>
      <w:r w:rsidR="00936328">
        <w:rPr>
          <w:rFonts w:ascii="Arial" w:hAnsi="Arial" w:cs="Arial"/>
          <w:szCs w:val="24"/>
        </w:rPr>
        <w:t>du</w:t>
      </w:r>
      <w:r w:rsidR="005425DB" w:rsidRPr="00B356DA">
        <w:rPr>
          <w:rFonts w:ascii="Arial" w:hAnsi="Arial" w:cs="Arial"/>
          <w:szCs w:val="24"/>
        </w:rPr>
        <w:t>al</w:t>
      </w:r>
      <w:r w:rsidR="000E5C0F" w:rsidRPr="00B356DA">
        <w:rPr>
          <w:rFonts w:ascii="Arial" w:hAnsi="Arial" w:cs="Arial"/>
          <w:szCs w:val="24"/>
        </w:rPr>
        <w:t xml:space="preserve"> </w:t>
      </w:r>
      <w:r w:rsidR="005425DB" w:rsidRPr="00B356DA">
        <w:rPr>
          <w:rFonts w:ascii="Arial" w:hAnsi="Arial" w:cs="Arial"/>
          <w:szCs w:val="24"/>
        </w:rPr>
        <w:t>requesting</w:t>
      </w:r>
      <w:r w:rsidR="000E5C0F" w:rsidRPr="00B356DA">
        <w:rPr>
          <w:rFonts w:ascii="Arial" w:hAnsi="Arial" w:cs="Arial"/>
          <w:szCs w:val="24"/>
        </w:rPr>
        <w:t xml:space="preserve"> support will be gathered and will include</w:t>
      </w:r>
      <w:r w:rsidR="005425DB" w:rsidRPr="00B356DA">
        <w:rPr>
          <w:rFonts w:ascii="Arial" w:hAnsi="Arial" w:cs="Arial"/>
          <w:szCs w:val="24"/>
        </w:rPr>
        <w:t xml:space="preserve"> some or all of the following</w:t>
      </w:r>
      <w:r w:rsidR="000E5C0F" w:rsidRPr="00B356DA">
        <w:rPr>
          <w:rFonts w:ascii="Arial" w:hAnsi="Arial" w:cs="Arial"/>
          <w:szCs w:val="24"/>
        </w:rPr>
        <w:t xml:space="preserve">: </w:t>
      </w:r>
    </w:p>
    <w:p w14:paraId="70020390" w14:textId="3C005074" w:rsidR="000E5C0F" w:rsidRDefault="005425DB" w:rsidP="00B050CB">
      <w:pPr>
        <w:pStyle w:val="ListParagraph"/>
        <w:numPr>
          <w:ilvl w:val="0"/>
          <w:numId w:val="17"/>
        </w:numPr>
        <w:ind w:left="851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Needs assessment</w:t>
      </w:r>
    </w:p>
    <w:p w14:paraId="731B465B" w14:textId="5E5F8DEB" w:rsidR="005425DB" w:rsidRDefault="005425DB" w:rsidP="00B050CB">
      <w:pPr>
        <w:pStyle w:val="ListParagraph"/>
        <w:numPr>
          <w:ilvl w:val="0"/>
          <w:numId w:val="17"/>
        </w:numPr>
        <w:ind w:left="851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Care plan/s</w:t>
      </w:r>
    </w:p>
    <w:p w14:paraId="12D45826" w14:textId="2055876C" w:rsidR="005425DB" w:rsidRDefault="005425DB" w:rsidP="00B050CB">
      <w:pPr>
        <w:pStyle w:val="ListParagraph"/>
        <w:numPr>
          <w:ilvl w:val="0"/>
          <w:numId w:val="17"/>
        </w:numPr>
        <w:ind w:left="851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SLSW referral form</w:t>
      </w:r>
    </w:p>
    <w:p w14:paraId="0C390970" w14:textId="4228E8BB" w:rsidR="005425DB" w:rsidRDefault="005425DB" w:rsidP="00B050CB">
      <w:pPr>
        <w:pStyle w:val="ListParagraph"/>
        <w:numPr>
          <w:ilvl w:val="0"/>
          <w:numId w:val="17"/>
        </w:numPr>
        <w:ind w:left="851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Risk assessments and all known risks</w:t>
      </w:r>
    </w:p>
    <w:p w14:paraId="36752F91" w14:textId="7070A54A" w:rsidR="005425DB" w:rsidRDefault="005425DB" w:rsidP="00B050CB">
      <w:pPr>
        <w:pStyle w:val="ListParagraph"/>
        <w:numPr>
          <w:ilvl w:val="0"/>
          <w:numId w:val="17"/>
        </w:numPr>
        <w:ind w:left="851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Finance and benefit information</w:t>
      </w:r>
    </w:p>
    <w:p w14:paraId="11F5B3FC" w14:textId="2CE2388B" w:rsidR="005425DB" w:rsidRDefault="005425DB" w:rsidP="00B050CB">
      <w:pPr>
        <w:pStyle w:val="ListParagraph"/>
        <w:numPr>
          <w:ilvl w:val="0"/>
          <w:numId w:val="17"/>
        </w:numPr>
        <w:ind w:left="851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Key people and contacts in the </w:t>
      </w:r>
      <w:r w:rsidR="00B02B8A">
        <w:rPr>
          <w:rFonts w:ascii="Arial" w:hAnsi="Arial" w:cs="Arial"/>
          <w:szCs w:val="24"/>
        </w:rPr>
        <w:t>person’s</w:t>
      </w:r>
      <w:r>
        <w:rPr>
          <w:rFonts w:ascii="Arial" w:hAnsi="Arial" w:cs="Arial"/>
          <w:szCs w:val="24"/>
        </w:rPr>
        <w:t xml:space="preserve"> life including professional and medica</w:t>
      </w:r>
      <w:r w:rsidR="007B61CE">
        <w:rPr>
          <w:rFonts w:ascii="Arial" w:hAnsi="Arial" w:cs="Arial"/>
          <w:szCs w:val="24"/>
        </w:rPr>
        <w:t>l</w:t>
      </w:r>
    </w:p>
    <w:p w14:paraId="242829B1" w14:textId="77777777" w:rsidR="007B61CE" w:rsidRPr="00B02B5C" w:rsidRDefault="007B61CE" w:rsidP="00B02B5C">
      <w:pPr>
        <w:rPr>
          <w:rFonts w:ascii="Arial" w:hAnsi="Arial" w:cs="Arial"/>
          <w:b/>
          <w:szCs w:val="24"/>
        </w:rPr>
      </w:pPr>
    </w:p>
    <w:p w14:paraId="33D431CF" w14:textId="07B30580" w:rsidR="007B61CE" w:rsidRPr="00662A5C" w:rsidRDefault="007B61CE" w:rsidP="007B61CE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Once all involved are in agreement to proceed the arrangement of introductions </w:t>
      </w:r>
      <w:r w:rsidR="00B02B5C">
        <w:rPr>
          <w:rFonts w:ascii="Arial" w:hAnsi="Arial" w:cs="Arial"/>
          <w:szCs w:val="24"/>
        </w:rPr>
        <w:t>will take place.</w:t>
      </w:r>
    </w:p>
    <w:p w14:paraId="79D45BD0" w14:textId="77777777" w:rsidR="007B61CE" w:rsidRPr="007B61CE" w:rsidRDefault="007B61CE" w:rsidP="007B61CE">
      <w:pPr>
        <w:rPr>
          <w:rFonts w:ascii="Arial" w:hAnsi="Arial" w:cs="Arial"/>
          <w:szCs w:val="24"/>
        </w:rPr>
      </w:pPr>
    </w:p>
    <w:p w14:paraId="0ADF7CEA" w14:textId="77777777" w:rsidR="00E94683" w:rsidRPr="00E94683" w:rsidRDefault="00E94683" w:rsidP="00E94683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4A8F290F" w14:textId="64E55059" w:rsidR="007B61CE" w:rsidRPr="007B61CE" w:rsidRDefault="00E94683" w:rsidP="007B61CE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Introductions </w:t>
      </w:r>
      <w:r w:rsidR="007B61CE">
        <w:rPr>
          <w:rFonts w:ascii="Arial" w:hAnsi="Arial" w:cs="Arial"/>
          <w:b/>
          <w:szCs w:val="24"/>
        </w:rPr>
        <w:t>and matching</w:t>
      </w:r>
    </w:p>
    <w:p w14:paraId="1DCE70FA" w14:textId="7400A840" w:rsidR="00CD5765" w:rsidRPr="007B61CE" w:rsidRDefault="007B61CE" w:rsidP="007B61CE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SLSW will support as many introductory visits as required to make a safe match that all parties agree to. </w:t>
      </w:r>
    </w:p>
    <w:p w14:paraId="515E643C" w14:textId="77777777" w:rsidR="00CD5765" w:rsidRPr="00CD5765" w:rsidRDefault="00CD5765" w:rsidP="00CD5765">
      <w:pPr>
        <w:pStyle w:val="ListParagraph"/>
        <w:rPr>
          <w:rFonts w:ascii="Arial" w:hAnsi="Arial" w:cs="Arial"/>
          <w:szCs w:val="24"/>
        </w:rPr>
      </w:pPr>
    </w:p>
    <w:p w14:paraId="2D3826EB" w14:textId="77777777" w:rsidR="00CD5765" w:rsidRPr="00CD5765" w:rsidRDefault="00CD5765" w:rsidP="00CD5765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SLSW staff will offer support to facilitate meetings in </w:t>
      </w:r>
      <w:r w:rsidR="00662A5C">
        <w:rPr>
          <w:rFonts w:ascii="Arial" w:hAnsi="Arial" w:cs="Arial"/>
          <w:szCs w:val="24"/>
        </w:rPr>
        <w:t>liaison</w:t>
      </w:r>
      <w:r>
        <w:rPr>
          <w:rFonts w:ascii="Arial" w:hAnsi="Arial" w:cs="Arial"/>
          <w:szCs w:val="24"/>
        </w:rPr>
        <w:t xml:space="preserve"> with the carer. </w:t>
      </w:r>
      <w:r w:rsidR="001C2FEE">
        <w:rPr>
          <w:rFonts w:ascii="Arial" w:hAnsi="Arial" w:cs="Arial"/>
          <w:szCs w:val="24"/>
        </w:rPr>
        <w:t xml:space="preserve">New carers will require more direct support with their first introductions and as they become more experienced they will become more self-directed, but SLSW commits to providing the carer with the level of support they require regardless of experience. </w:t>
      </w:r>
    </w:p>
    <w:p w14:paraId="5E39C608" w14:textId="77777777" w:rsidR="00BF192D" w:rsidRDefault="00BF192D" w:rsidP="00BF192D">
      <w:pPr>
        <w:pStyle w:val="ListParagraph"/>
        <w:ind w:left="567"/>
        <w:rPr>
          <w:rFonts w:ascii="Arial" w:hAnsi="Arial" w:cs="Arial"/>
          <w:szCs w:val="24"/>
        </w:rPr>
      </w:pPr>
    </w:p>
    <w:p w14:paraId="65EEB102" w14:textId="0F3B781B" w:rsidR="00C67933" w:rsidRDefault="00662A5C" w:rsidP="006E6AA7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7B61CE">
        <w:rPr>
          <w:rFonts w:ascii="Arial" w:hAnsi="Arial" w:cs="Arial"/>
          <w:szCs w:val="24"/>
        </w:rPr>
        <w:t>During introductions and matching</w:t>
      </w:r>
      <w:r w:rsidR="000B5629" w:rsidRPr="007B61CE">
        <w:rPr>
          <w:rFonts w:ascii="Arial" w:hAnsi="Arial" w:cs="Arial"/>
          <w:szCs w:val="24"/>
        </w:rPr>
        <w:t>,</w:t>
      </w:r>
      <w:r w:rsidRPr="007B61CE">
        <w:rPr>
          <w:rFonts w:ascii="Arial" w:hAnsi="Arial" w:cs="Arial"/>
          <w:szCs w:val="24"/>
        </w:rPr>
        <w:t xml:space="preserve"> timely communication between all parties</w:t>
      </w:r>
      <w:r w:rsidR="00C67933" w:rsidRPr="007B61CE">
        <w:rPr>
          <w:rFonts w:ascii="Arial" w:hAnsi="Arial" w:cs="Arial"/>
          <w:szCs w:val="24"/>
        </w:rPr>
        <w:t xml:space="preserve"> is required so all are kept informed and are agreeable to the pace and direction of the </w:t>
      </w:r>
      <w:r w:rsidR="00E86F36" w:rsidRPr="007B61CE">
        <w:rPr>
          <w:rFonts w:ascii="Arial" w:hAnsi="Arial" w:cs="Arial"/>
          <w:szCs w:val="24"/>
        </w:rPr>
        <w:t>referral’s</w:t>
      </w:r>
      <w:r w:rsidR="00C67933" w:rsidRPr="007B61CE">
        <w:rPr>
          <w:rFonts w:ascii="Arial" w:hAnsi="Arial" w:cs="Arial"/>
          <w:szCs w:val="24"/>
        </w:rPr>
        <w:t xml:space="preserve"> progression. </w:t>
      </w:r>
    </w:p>
    <w:p w14:paraId="350797CD" w14:textId="77777777" w:rsidR="000B5629" w:rsidRPr="007B61CE" w:rsidRDefault="000B5629" w:rsidP="007B61CE">
      <w:pPr>
        <w:rPr>
          <w:rFonts w:ascii="Arial" w:hAnsi="Arial" w:cs="Arial"/>
          <w:szCs w:val="24"/>
        </w:rPr>
      </w:pPr>
    </w:p>
    <w:p w14:paraId="58A7809F" w14:textId="7C48A3A1" w:rsidR="0082348F" w:rsidRPr="00B02B5C" w:rsidRDefault="00B02B5C" w:rsidP="00DC0013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When a placement starts</w:t>
      </w:r>
      <w:r w:rsidR="000B5629" w:rsidRPr="007B61CE">
        <w:rPr>
          <w:rFonts w:ascii="Arial" w:hAnsi="Arial" w:cs="Arial"/>
          <w:szCs w:val="24"/>
        </w:rPr>
        <w:t xml:space="preserve"> it will be subject to</w:t>
      </w:r>
      <w:r w:rsidR="007C5128">
        <w:rPr>
          <w:rFonts w:ascii="Arial" w:hAnsi="Arial" w:cs="Arial"/>
          <w:szCs w:val="24"/>
        </w:rPr>
        <w:t xml:space="preserve"> a </w:t>
      </w:r>
      <w:r w:rsidR="00B02B8A">
        <w:rPr>
          <w:rFonts w:ascii="Arial" w:hAnsi="Arial" w:cs="Arial"/>
          <w:szCs w:val="24"/>
        </w:rPr>
        <w:t>15-week</w:t>
      </w:r>
      <w:r w:rsidR="007C5128">
        <w:rPr>
          <w:rFonts w:ascii="Arial" w:hAnsi="Arial" w:cs="Arial"/>
          <w:szCs w:val="24"/>
        </w:rPr>
        <w:t xml:space="preserve"> review </w:t>
      </w:r>
      <w:r>
        <w:rPr>
          <w:rFonts w:ascii="Arial" w:hAnsi="Arial" w:cs="Arial"/>
          <w:szCs w:val="24"/>
        </w:rPr>
        <w:t>which will be carried out by SLSW.</w:t>
      </w:r>
    </w:p>
    <w:p w14:paraId="533E6ACA" w14:textId="77777777" w:rsidR="00B02B5C" w:rsidRPr="00B02B5C" w:rsidRDefault="00B02B5C" w:rsidP="00B02B5C">
      <w:pPr>
        <w:pStyle w:val="ListParagraph"/>
        <w:rPr>
          <w:rFonts w:ascii="Arial" w:hAnsi="Arial" w:cs="Arial"/>
          <w:b/>
          <w:szCs w:val="24"/>
        </w:rPr>
      </w:pPr>
    </w:p>
    <w:p w14:paraId="3491AA48" w14:textId="51AB58EB" w:rsidR="00B02B5C" w:rsidRPr="00B02B5C" w:rsidRDefault="00B02B5C" w:rsidP="00DC0013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All new placements will be provided with ongoing monitoring and support. </w:t>
      </w:r>
    </w:p>
    <w:p w14:paraId="68D2C8C8" w14:textId="77777777" w:rsidR="00B02B5C" w:rsidRPr="00B02B5C" w:rsidRDefault="00B02B5C" w:rsidP="00B02B5C">
      <w:pPr>
        <w:pStyle w:val="ListParagraph"/>
        <w:rPr>
          <w:rFonts w:ascii="Arial" w:hAnsi="Arial" w:cs="Arial"/>
          <w:b/>
          <w:szCs w:val="24"/>
        </w:rPr>
      </w:pPr>
    </w:p>
    <w:p w14:paraId="2CFE30C0" w14:textId="77777777" w:rsidR="00B52AEC" w:rsidRPr="00B02B5C" w:rsidRDefault="00B52AEC" w:rsidP="00B02B5C">
      <w:pPr>
        <w:rPr>
          <w:rFonts w:ascii="Arial" w:hAnsi="Arial" w:cs="Arial"/>
          <w:b/>
          <w:szCs w:val="24"/>
        </w:rPr>
      </w:pPr>
    </w:p>
    <w:p w14:paraId="3D8E773F" w14:textId="3B43A382" w:rsidR="00B02B5C" w:rsidRPr="00B02B5C" w:rsidRDefault="00E56C91" w:rsidP="00B02B5C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Emergency Placement</w:t>
      </w:r>
    </w:p>
    <w:p w14:paraId="456AB7FB" w14:textId="2A20F6D2" w:rsidR="00480DA3" w:rsidRPr="00480DA3" w:rsidRDefault="00456D8D" w:rsidP="00B02B5C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B02B5C">
        <w:rPr>
          <w:rFonts w:ascii="Arial" w:hAnsi="Arial" w:cs="Arial"/>
          <w:szCs w:val="24"/>
        </w:rPr>
        <w:t xml:space="preserve">SLSW is not an emergency service but will do all it can to </w:t>
      </w:r>
      <w:r w:rsidR="00F90D80" w:rsidRPr="00B02B5C">
        <w:rPr>
          <w:rFonts w:ascii="Arial" w:hAnsi="Arial" w:cs="Arial"/>
          <w:szCs w:val="24"/>
        </w:rPr>
        <w:t>assist referring</w:t>
      </w:r>
      <w:r w:rsidRPr="00B02B5C">
        <w:rPr>
          <w:rFonts w:ascii="Arial" w:hAnsi="Arial" w:cs="Arial"/>
          <w:szCs w:val="24"/>
        </w:rPr>
        <w:t xml:space="preserve"> partners and ind</w:t>
      </w:r>
      <w:r w:rsidR="00F90D80" w:rsidRPr="00B02B5C">
        <w:rPr>
          <w:rFonts w:ascii="Arial" w:hAnsi="Arial" w:cs="Arial"/>
          <w:szCs w:val="24"/>
        </w:rPr>
        <w:t>i</w:t>
      </w:r>
      <w:r w:rsidRPr="00B02B5C">
        <w:rPr>
          <w:rFonts w:ascii="Arial" w:hAnsi="Arial" w:cs="Arial"/>
          <w:szCs w:val="24"/>
        </w:rPr>
        <w:t>vi</w:t>
      </w:r>
      <w:r w:rsidR="00F90D80" w:rsidRPr="00B02B5C">
        <w:rPr>
          <w:rFonts w:ascii="Arial" w:hAnsi="Arial" w:cs="Arial"/>
          <w:szCs w:val="24"/>
        </w:rPr>
        <w:t>du</w:t>
      </w:r>
      <w:r w:rsidRPr="00B02B5C">
        <w:rPr>
          <w:rFonts w:ascii="Arial" w:hAnsi="Arial" w:cs="Arial"/>
          <w:szCs w:val="24"/>
        </w:rPr>
        <w:t>al</w:t>
      </w:r>
      <w:r w:rsidR="00F90D80" w:rsidRPr="00B02B5C">
        <w:rPr>
          <w:rFonts w:ascii="Arial" w:hAnsi="Arial" w:cs="Arial"/>
          <w:szCs w:val="24"/>
        </w:rPr>
        <w:t>s</w:t>
      </w:r>
      <w:r w:rsidRPr="00B02B5C">
        <w:rPr>
          <w:rFonts w:ascii="Arial" w:hAnsi="Arial" w:cs="Arial"/>
          <w:szCs w:val="24"/>
        </w:rPr>
        <w:t xml:space="preserve"> in need to explore options for them. </w:t>
      </w:r>
    </w:p>
    <w:p w14:paraId="4DA99993" w14:textId="77777777" w:rsidR="00480DA3" w:rsidRPr="00480DA3" w:rsidRDefault="00480DA3" w:rsidP="00480DA3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7BECB2B1" w14:textId="77777777" w:rsidR="00480DA3" w:rsidRPr="00480DA3" w:rsidRDefault="00456D8D" w:rsidP="00B02B5C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B02B5C">
        <w:rPr>
          <w:rFonts w:ascii="Arial" w:hAnsi="Arial" w:cs="Arial"/>
          <w:szCs w:val="24"/>
        </w:rPr>
        <w:t xml:space="preserve">SLSW will ask carers to provide their status for emergency referrals </w:t>
      </w:r>
      <w:r w:rsidR="00F90D80" w:rsidRPr="00B02B5C">
        <w:rPr>
          <w:rFonts w:ascii="Arial" w:hAnsi="Arial" w:cs="Arial"/>
          <w:szCs w:val="24"/>
        </w:rPr>
        <w:t xml:space="preserve">and </w:t>
      </w:r>
      <w:r w:rsidRPr="00B02B5C">
        <w:rPr>
          <w:rFonts w:ascii="Arial" w:hAnsi="Arial" w:cs="Arial"/>
          <w:szCs w:val="24"/>
        </w:rPr>
        <w:t xml:space="preserve">will record this information accordingly. </w:t>
      </w:r>
    </w:p>
    <w:p w14:paraId="42902736" w14:textId="77777777" w:rsidR="00480DA3" w:rsidRPr="00480DA3" w:rsidRDefault="00480DA3" w:rsidP="00480DA3">
      <w:pPr>
        <w:pStyle w:val="ListParagraph"/>
        <w:rPr>
          <w:rFonts w:ascii="Arial" w:hAnsi="Arial" w:cs="Arial"/>
          <w:szCs w:val="24"/>
        </w:rPr>
      </w:pPr>
    </w:p>
    <w:p w14:paraId="57B8F4AD" w14:textId="05854416" w:rsidR="00480DA3" w:rsidRPr="00480DA3" w:rsidRDefault="00456D8D" w:rsidP="00480DA3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B02B5C">
        <w:rPr>
          <w:rFonts w:ascii="Arial" w:hAnsi="Arial" w:cs="Arial"/>
          <w:szCs w:val="24"/>
        </w:rPr>
        <w:t xml:space="preserve">Where SLSW is not able to help, it will commit to ensuring a response is provided promptly to the referring person. </w:t>
      </w:r>
    </w:p>
    <w:p w14:paraId="42BEC9DD" w14:textId="77777777" w:rsidR="00480DA3" w:rsidRPr="00480DA3" w:rsidRDefault="00480DA3" w:rsidP="00480DA3">
      <w:pPr>
        <w:pStyle w:val="ListParagraph"/>
        <w:rPr>
          <w:rFonts w:ascii="Arial" w:hAnsi="Arial" w:cs="Arial"/>
          <w:b/>
          <w:szCs w:val="24"/>
        </w:rPr>
      </w:pPr>
    </w:p>
    <w:p w14:paraId="26D3D513" w14:textId="4691E7CD" w:rsidR="00456D8D" w:rsidRPr="00480DA3" w:rsidRDefault="00456D8D" w:rsidP="00456D8D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480DA3">
        <w:rPr>
          <w:rFonts w:ascii="Arial" w:hAnsi="Arial" w:cs="Arial"/>
          <w:szCs w:val="24"/>
        </w:rPr>
        <w:t xml:space="preserve">The referral guidance provides instruction for how SLSW will handle emergency referrals </w:t>
      </w:r>
      <w:r w:rsidR="00603ABD">
        <w:rPr>
          <w:rFonts w:ascii="Arial" w:hAnsi="Arial" w:cs="Arial"/>
          <w:szCs w:val="24"/>
        </w:rPr>
        <w:t xml:space="preserve">with the Referral guidance. </w:t>
      </w:r>
    </w:p>
    <w:p w14:paraId="27A1FE63" w14:textId="77777777" w:rsidR="00E56C91" w:rsidRDefault="00E56C91" w:rsidP="00E56C91">
      <w:pPr>
        <w:rPr>
          <w:rFonts w:ascii="Arial" w:hAnsi="Arial" w:cs="Arial"/>
          <w:b/>
          <w:szCs w:val="24"/>
        </w:rPr>
      </w:pPr>
    </w:p>
    <w:p w14:paraId="0CA8F68E" w14:textId="77777777" w:rsidR="00E56C91" w:rsidRPr="00E56C91" w:rsidRDefault="00E56C91" w:rsidP="00E56C91">
      <w:pPr>
        <w:rPr>
          <w:rFonts w:ascii="Arial" w:hAnsi="Arial" w:cs="Arial"/>
          <w:b/>
          <w:szCs w:val="24"/>
        </w:rPr>
      </w:pPr>
    </w:p>
    <w:p w14:paraId="77481AA6" w14:textId="12D70D74" w:rsidR="001C2FEE" w:rsidRPr="00B02B5C" w:rsidRDefault="00E87328" w:rsidP="00B02B5C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82348F">
        <w:rPr>
          <w:rFonts w:ascii="Arial" w:hAnsi="Arial" w:cs="Arial"/>
          <w:b/>
          <w:szCs w:val="24"/>
        </w:rPr>
        <w:t>Review</w:t>
      </w:r>
    </w:p>
    <w:p w14:paraId="24334792" w14:textId="56744F1A" w:rsidR="0068652D" w:rsidRPr="00AF467C" w:rsidRDefault="0068652D" w:rsidP="00AF467C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AF467C">
        <w:rPr>
          <w:rFonts w:ascii="Arial" w:hAnsi="Arial" w:cs="Arial"/>
          <w:szCs w:val="24"/>
        </w:rPr>
        <w:t xml:space="preserve">This policy will be </w:t>
      </w:r>
      <w:r w:rsidR="00337D16">
        <w:rPr>
          <w:rFonts w:ascii="Arial" w:hAnsi="Arial" w:cs="Arial"/>
          <w:szCs w:val="24"/>
        </w:rPr>
        <w:t xml:space="preserve">reviewed every </w:t>
      </w:r>
      <w:r w:rsidR="00BB6059">
        <w:rPr>
          <w:rFonts w:ascii="Arial" w:hAnsi="Arial" w:cs="Arial"/>
          <w:szCs w:val="24"/>
        </w:rPr>
        <w:t xml:space="preserve">two </w:t>
      </w:r>
      <w:r w:rsidR="00337D16">
        <w:rPr>
          <w:rFonts w:ascii="Arial" w:hAnsi="Arial" w:cs="Arial"/>
          <w:szCs w:val="24"/>
        </w:rPr>
        <w:t>year</w:t>
      </w:r>
      <w:r w:rsidR="00BB6059">
        <w:rPr>
          <w:rFonts w:ascii="Arial" w:hAnsi="Arial" w:cs="Arial"/>
          <w:szCs w:val="24"/>
        </w:rPr>
        <w:t>s</w:t>
      </w:r>
      <w:r w:rsidR="00337D16">
        <w:rPr>
          <w:rFonts w:ascii="Arial" w:hAnsi="Arial" w:cs="Arial"/>
          <w:szCs w:val="24"/>
        </w:rPr>
        <w:t xml:space="preserve"> or earlier if required</w:t>
      </w:r>
      <w:r w:rsidRPr="00AF467C">
        <w:rPr>
          <w:rFonts w:ascii="Arial" w:hAnsi="Arial" w:cs="Arial"/>
          <w:szCs w:val="24"/>
        </w:rPr>
        <w:t>.</w:t>
      </w:r>
    </w:p>
    <w:p w14:paraId="498A146D" w14:textId="547E7F21" w:rsidR="00BF192D" w:rsidRDefault="00BF192D" w:rsidP="001857B4">
      <w:pPr>
        <w:ind w:left="567" w:hanging="567"/>
        <w:rPr>
          <w:rFonts w:ascii="Arial" w:hAnsi="Arial" w:cs="Arial"/>
          <w:b/>
          <w:szCs w:val="24"/>
        </w:rPr>
      </w:pPr>
    </w:p>
    <w:p w14:paraId="13E00948" w14:textId="14D0BF0A" w:rsidR="007E2EC9" w:rsidRDefault="007E2EC9" w:rsidP="001857B4">
      <w:pPr>
        <w:ind w:left="567" w:hanging="567"/>
        <w:rPr>
          <w:rFonts w:ascii="Arial" w:hAnsi="Arial" w:cs="Arial"/>
          <w:b/>
          <w:szCs w:val="24"/>
        </w:rPr>
      </w:pPr>
    </w:p>
    <w:p w14:paraId="273D98BC" w14:textId="77777777" w:rsidR="007E2EC9" w:rsidRPr="0082348F" w:rsidRDefault="007E2EC9" w:rsidP="001857B4">
      <w:pPr>
        <w:ind w:left="567" w:hanging="567"/>
        <w:rPr>
          <w:rFonts w:ascii="Arial" w:hAnsi="Arial" w:cs="Arial"/>
          <w:b/>
          <w:szCs w:val="24"/>
        </w:rPr>
      </w:pPr>
    </w:p>
    <w:p w14:paraId="64217E62" w14:textId="2E31BAD6" w:rsidR="0068652D" w:rsidRPr="00B02B5C" w:rsidRDefault="00A426CA" w:rsidP="00B02B5C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82348F">
        <w:rPr>
          <w:rFonts w:ascii="Arial" w:hAnsi="Arial" w:cs="Arial"/>
          <w:b/>
          <w:szCs w:val="24"/>
        </w:rPr>
        <w:lastRenderedPageBreak/>
        <w:t>Responsibilities</w:t>
      </w:r>
    </w:p>
    <w:p w14:paraId="5335F6B2" w14:textId="05B34E24" w:rsidR="00B52AEC" w:rsidRDefault="001857B4" w:rsidP="00B02B5C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691992">
        <w:rPr>
          <w:rFonts w:ascii="Arial" w:hAnsi="Arial" w:cs="Arial"/>
          <w:szCs w:val="24"/>
        </w:rPr>
        <w:t>Registered Manager</w:t>
      </w:r>
      <w:r>
        <w:rPr>
          <w:rFonts w:ascii="Arial" w:hAnsi="Arial" w:cs="Arial"/>
          <w:szCs w:val="24"/>
        </w:rPr>
        <w:t xml:space="preserve"> ha</w:t>
      </w:r>
      <w:r w:rsidR="00691992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overall responsibility for the implementation of this policy.</w:t>
      </w:r>
    </w:p>
    <w:p w14:paraId="73C4128B" w14:textId="77777777" w:rsidR="00B02B5C" w:rsidRPr="00B02B5C" w:rsidRDefault="00B02B5C" w:rsidP="00B02B5C">
      <w:pPr>
        <w:pStyle w:val="ListParagraph"/>
        <w:ind w:left="567"/>
        <w:rPr>
          <w:rFonts w:ascii="Arial" w:hAnsi="Arial" w:cs="Arial"/>
          <w:szCs w:val="24"/>
        </w:rPr>
      </w:pPr>
    </w:p>
    <w:p w14:paraId="5845F669" w14:textId="77777777" w:rsidR="00BF192D" w:rsidRDefault="00BF192D" w:rsidP="001857B4">
      <w:pPr>
        <w:ind w:left="567" w:hanging="567"/>
        <w:rPr>
          <w:rFonts w:ascii="Arial" w:hAnsi="Arial" w:cs="Arial"/>
          <w:szCs w:val="24"/>
        </w:rPr>
      </w:pPr>
    </w:p>
    <w:p w14:paraId="2D6D4529" w14:textId="77777777" w:rsidR="001857B4" w:rsidRPr="001857B4" w:rsidRDefault="001857B4" w:rsidP="001857B4">
      <w:pPr>
        <w:ind w:left="567" w:hanging="567"/>
        <w:rPr>
          <w:rFonts w:ascii="Arial" w:hAnsi="Arial" w:cs="Arial"/>
          <w:szCs w:val="24"/>
        </w:rPr>
      </w:pPr>
    </w:p>
    <w:sectPr w:rsidR="001857B4" w:rsidRPr="001857B4" w:rsidSect="003B2389">
      <w:headerReference w:type="default" r:id="rId8"/>
      <w:footerReference w:type="default" r:id="rId9"/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27DF" w14:textId="77777777" w:rsidR="00351E99" w:rsidRDefault="00351E99">
      <w:r>
        <w:separator/>
      </w:r>
    </w:p>
  </w:endnote>
  <w:endnote w:type="continuationSeparator" w:id="0">
    <w:p w14:paraId="3612FFA6" w14:textId="77777777" w:rsidR="00351E99" w:rsidRDefault="0035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459" w:type="dxa"/>
      <w:tblLook w:val="01E0" w:firstRow="1" w:lastRow="1" w:firstColumn="1" w:lastColumn="1" w:noHBand="0" w:noVBand="0"/>
    </w:tblPr>
    <w:tblGrid>
      <w:gridCol w:w="3366"/>
      <w:gridCol w:w="2907"/>
      <w:gridCol w:w="3508"/>
    </w:tblGrid>
    <w:tr w:rsidR="003A76CC" w:rsidRPr="00E66575" w14:paraId="0200411C" w14:textId="77777777" w:rsidTr="00DD5CAB">
      <w:tc>
        <w:tcPr>
          <w:tcW w:w="3366" w:type="dxa"/>
          <w:shd w:val="clear" w:color="auto" w:fill="auto"/>
        </w:tcPr>
        <w:p w14:paraId="1F89743E" w14:textId="4F2EE11A" w:rsidR="003A76CC" w:rsidRPr="00C75924" w:rsidRDefault="0068652D" w:rsidP="00C75924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OP14 – Referral and Matching of </w:t>
          </w:r>
          <w:r w:rsidR="007E2EC9">
            <w:rPr>
              <w:rFonts w:ascii="Arial" w:hAnsi="Arial" w:cs="Arial"/>
              <w:sz w:val="18"/>
              <w:szCs w:val="18"/>
            </w:rPr>
            <w:t>N</w:t>
          </w:r>
          <w:r>
            <w:rPr>
              <w:rFonts w:ascii="Arial" w:hAnsi="Arial" w:cs="Arial"/>
              <w:sz w:val="18"/>
              <w:szCs w:val="18"/>
            </w:rPr>
            <w:t xml:space="preserve">ew </w:t>
          </w:r>
          <w:r w:rsidR="007E2EC9">
            <w:rPr>
              <w:rFonts w:ascii="Arial" w:hAnsi="Arial" w:cs="Arial"/>
              <w:sz w:val="18"/>
              <w:szCs w:val="18"/>
            </w:rPr>
            <w:t>P</w:t>
          </w:r>
          <w:r>
            <w:rPr>
              <w:rFonts w:ascii="Arial" w:hAnsi="Arial" w:cs="Arial"/>
              <w:sz w:val="18"/>
              <w:szCs w:val="18"/>
            </w:rPr>
            <w:t>lacements</w:t>
          </w:r>
          <w:r w:rsidR="00333959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907" w:type="dxa"/>
          <w:shd w:val="clear" w:color="auto" w:fill="auto"/>
        </w:tcPr>
        <w:p w14:paraId="773D3E9E" w14:textId="77777777" w:rsidR="003A76CC" w:rsidRPr="00C75924" w:rsidRDefault="003A76CC" w:rsidP="00DD3D3A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508" w:type="dxa"/>
          <w:shd w:val="clear" w:color="auto" w:fill="auto"/>
        </w:tcPr>
        <w:p w14:paraId="03983A46" w14:textId="77777777" w:rsidR="003A76CC" w:rsidRPr="00C75924" w:rsidRDefault="003A76CC" w:rsidP="00DD3D3A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C75924">
            <w:rPr>
              <w:rFonts w:ascii="Arial" w:hAnsi="Arial" w:cs="Arial"/>
              <w:sz w:val="18"/>
              <w:szCs w:val="18"/>
            </w:rPr>
            <w:fldChar w:fldCharType="begin"/>
          </w:r>
          <w:r w:rsidRPr="00C75924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C75924">
            <w:rPr>
              <w:rFonts w:ascii="Arial" w:hAnsi="Arial" w:cs="Arial"/>
              <w:sz w:val="18"/>
              <w:szCs w:val="18"/>
            </w:rPr>
            <w:fldChar w:fldCharType="separate"/>
          </w:r>
          <w:r w:rsidR="00170DCE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75924">
            <w:rPr>
              <w:rFonts w:ascii="Arial" w:hAnsi="Arial" w:cs="Arial"/>
              <w:sz w:val="18"/>
              <w:szCs w:val="18"/>
            </w:rPr>
            <w:fldChar w:fldCharType="end"/>
          </w:r>
          <w:r w:rsidRPr="00C75924">
            <w:rPr>
              <w:rFonts w:ascii="Arial" w:hAnsi="Arial" w:cs="Arial"/>
              <w:sz w:val="18"/>
              <w:szCs w:val="18"/>
            </w:rPr>
            <w:t xml:space="preserve"> of </w:t>
          </w:r>
          <w:r w:rsidRPr="00C75924">
            <w:rPr>
              <w:rFonts w:ascii="Arial" w:hAnsi="Arial" w:cs="Arial"/>
              <w:sz w:val="18"/>
              <w:szCs w:val="18"/>
            </w:rPr>
            <w:fldChar w:fldCharType="begin"/>
          </w:r>
          <w:r w:rsidRPr="00C75924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C75924">
            <w:rPr>
              <w:rFonts w:ascii="Arial" w:hAnsi="Arial" w:cs="Arial"/>
              <w:sz w:val="18"/>
              <w:szCs w:val="18"/>
            </w:rPr>
            <w:fldChar w:fldCharType="separate"/>
          </w:r>
          <w:r w:rsidR="00170DCE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75924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3A76CC" w:rsidRPr="00E66575" w14:paraId="52D48D8B" w14:textId="77777777" w:rsidTr="00DD5CAB">
      <w:tc>
        <w:tcPr>
          <w:tcW w:w="3366" w:type="dxa"/>
          <w:shd w:val="clear" w:color="auto" w:fill="auto"/>
        </w:tcPr>
        <w:p w14:paraId="5ECE930E" w14:textId="29C7A023" w:rsidR="003A76CC" w:rsidRPr="00C75924" w:rsidRDefault="003A76CC" w:rsidP="00170DCE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 xml:space="preserve">Approved: </w:t>
          </w:r>
          <w:r w:rsidR="00636181">
            <w:rPr>
              <w:rFonts w:ascii="Arial" w:hAnsi="Arial" w:cs="Arial"/>
              <w:sz w:val="18"/>
              <w:szCs w:val="18"/>
            </w:rPr>
            <w:t xml:space="preserve"> </w:t>
          </w:r>
          <w:r w:rsidR="00BB6059">
            <w:rPr>
              <w:rFonts w:ascii="Arial" w:hAnsi="Arial" w:cs="Arial"/>
              <w:sz w:val="18"/>
              <w:szCs w:val="18"/>
            </w:rPr>
            <w:t>24</w:t>
          </w:r>
          <w:r w:rsidR="00636181">
            <w:rPr>
              <w:rFonts w:ascii="Arial" w:hAnsi="Arial" w:cs="Arial"/>
              <w:sz w:val="18"/>
              <w:szCs w:val="18"/>
            </w:rPr>
            <w:t xml:space="preserve"> </w:t>
          </w:r>
          <w:r w:rsidR="00BB6059">
            <w:rPr>
              <w:rFonts w:ascii="Arial" w:hAnsi="Arial" w:cs="Arial"/>
              <w:sz w:val="18"/>
              <w:szCs w:val="18"/>
            </w:rPr>
            <w:t>March</w:t>
          </w:r>
          <w:r w:rsidR="0068652D">
            <w:rPr>
              <w:rFonts w:ascii="Arial" w:hAnsi="Arial" w:cs="Arial"/>
              <w:sz w:val="18"/>
              <w:szCs w:val="18"/>
            </w:rPr>
            <w:t xml:space="preserve"> 2023</w:t>
          </w:r>
        </w:p>
      </w:tc>
      <w:tc>
        <w:tcPr>
          <w:tcW w:w="2907" w:type="dxa"/>
          <w:shd w:val="clear" w:color="auto" w:fill="auto"/>
        </w:tcPr>
        <w:p w14:paraId="35EC6FA8" w14:textId="77777777" w:rsidR="003A76CC" w:rsidRPr="00C75924" w:rsidRDefault="003A76CC" w:rsidP="0033395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 xml:space="preserve">Reviewed: </w:t>
          </w:r>
          <w:r w:rsidR="00333959">
            <w:rPr>
              <w:rFonts w:ascii="Arial" w:hAnsi="Arial" w:cs="Arial"/>
              <w:sz w:val="18"/>
              <w:szCs w:val="18"/>
            </w:rPr>
            <w:t>n/a</w:t>
          </w:r>
        </w:p>
      </w:tc>
      <w:tc>
        <w:tcPr>
          <w:tcW w:w="3508" w:type="dxa"/>
          <w:shd w:val="clear" w:color="auto" w:fill="auto"/>
        </w:tcPr>
        <w:p w14:paraId="4A845C45" w14:textId="23D6D1A9" w:rsidR="003A76CC" w:rsidRPr="00C75924" w:rsidRDefault="003A76CC" w:rsidP="00170DCE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>Next review:</w:t>
          </w:r>
          <w:r w:rsidR="00636181">
            <w:rPr>
              <w:rFonts w:ascii="Arial" w:hAnsi="Arial" w:cs="Arial"/>
              <w:sz w:val="18"/>
              <w:szCs w:val="18"/>
            </w:rPr>
            <w:t xml:space="preserve"> </w:t>
          </w:r>
          <w:r w:rsidR="00B8075D">
            <w:rPr>
              <w:rFonts w:ascii="Arial" w:hAnsi="Arial" w:cs="Arial"/>
              <w:sz w:val="18"/>
              <w:szCs w:val="18"/>
            </w:rPr>
            <w:t>31</w:t>
          </w:r>
          <w:r w:rsidRPr="00C75924">
            <w:rPr>
              <w:rFonts w:ascii="Arial" w:hAnsi="Arial" w:cs="Arial"/>
              <w:sz w:val="18"/>
              <w:szCs w:val="18"/>
            </w:rPr>
            <w:t xml:space="preserve"> </w:t>
          </w:r>
          <w:r w:rsidR="00BB6059">
            <w:rPr>
              <w:rFonts w:ascii="Arial" w:hAnsi="Arial" w:cs="Arial"/>
              <w:sz w:val="18"/>
              <w:szCs w:val="18"/>
            </w:rPr>
            <w:t>March</w:t>
          </w:r>
          <w:r w:rsidR="00170DCE">
            <w:rPr>
              <w:rFonts w:ascii="Arial" w:hAnsi="Arial" w:cs="Arial"/>
              <w:sz w:val="18"/>
              <w:szCs w:val="18"/>
            </w:rPr>
            <w:t xml:space="preserve"> 202</w:t>
          </w:r>
          <w:r w:rsidR="00BB6059">
            <w:rPr>
              <w:rFonts w:ascii="Arial" w:hAnsi="Arial" w:cs="Arial"/>
              <w:sz w:val="18"/>
              <w:szCs w:val="18"/>
            </w:rPr>
            <w:t>5</w:t>
          </w:r>
        </w:p>
      </w:tc>
    </w:tr>
  </w:tbl>
  <w:p w14:paraId="3F46FC77" w14:textId="77777777" w:rsidR="003A76CC" w:rsidRPr="001415BE" w:rsidRDefault="003A76CC" w:rsidP="001415B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013D" w14:textId="77777777" w:rsidR="00351E99" w:rsidRDefault="00351E99">
      <w:r>
        <w:separator/>
      </w:r>
    </w:p>
  </w:footnote>
  <w:footnote w:type="continuationSeparator" w:id="0">
    <w:p w14:paraId="2E669D50" w14:textId="77777777" w:rsidR="00351E99" w:rsidRDefault="0035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ook w:val="01E0" w:firstRow="1" w:lastRow="1" w:firstColumn="1" w:lastColumn="1" w:noHBand="0" w:noVBand="0"/>
    </w:tblPr>
    <w:tblGrid>
      <w:gridCol w:w="3652"/>
      <w:gridCol w:w="5528"/>
    </w:tblGrid>
    <w:tr w:rsidR="003A76CC" w:rsidRPr="00964B9C" w14:paraId="6D7A7CC0" w14:textId="77777777" w:rsidTr="00DD5CAB">
      <w:tc>
        <w:tcPr>
          <w:tcW w:w="3652" w:type="dxa"/>
        </w:tcPr>
        <w:p w14:paraId="4B769E4C" w14:textId="77777777" w:rsidR="003A76CC" w:rsidRDefault="007D5E07" w:rsidP="005319B9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4D3D4976" wp14:editId="433803F7">
                <wp:extent cx="1981200" cy="723900"/>
                <wp:effectExtent l="0" t="0" r="0" b="0"/>
                <wp:docPr id="2" name="Picture 2" descr="SLSW-logo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SW-log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20A3A65F" w14:textId="77777777" w:rsidR="003A76CC" w:rsidRPr="00B8075D" w:rsidRDefault="00E66575" w:rsidP="005319B9">
          <w:pPr>
            <w:pStyle w:val="Header"/>
            <w:jc w:val="right"/>
            <w:rPr>
              <w:rFonts w:ascii="Arial" w:hAnsi="Arial" w:cs="Arial"/>
            </w:rPr>
          </w:pPr>
          <w:r w:rsidRPr="00B8075D">
            <w:rPr>
              <w:rFonts w:ascii="Arial" w:hAnsi="Arial" w:cs="Arial"/>
            </w:rPr>
            <w:t>Shared Lives South West</w:t>
          </w:r>
        </w:p>
        <w:p w14:paraId="41325F68" w14:textId="77777777" w:rsidR="003A76CC" w:rsidRPr="00B8075D" w:rsidRDefault="00457167" w:rsidP="005319B9">
          <w:pPr>
            <w:pStyle w:val="Header"/>
            <w:jc w:val="right"/>
            <w:rPr>
              <w:rFonts w:ascii="Arial" w:hAnsi="Arial" w:cs="Arial"/>
            </w:rPr>
          </w:pPr>
          <w:r w:rsidRPr="00B8075D">
            <w:rPr>
              <w:rFonts w:ascii="Arial" w:hAnsi="Arial" w:cs="Arial"/>
            </w:rPr>
            <w:t>Operational</w:t>
          </w:r>
          <w:r w:rsidR="0032297C" w:rsidRPr="00B8075D">
            <w:rPr>
              <w:rFonts w:ascii="Arial" w:hAnsi="Arial" w:cs="Arial"/>
            </w:rPr>
            <w:t xml:space="preserve"> Policies</w:t>
          </w:r>
        </w:p>
        <w:p w14:paraId="4482EAE7" w14:textId="77777777" w:rsidR="003A76CC" w:rsidRPr="00B8075D" w:rsidRDefault="00457167" w:rsidP="005319B9">
          <w:pPr>
            <w:pStyle w:val="Header"/>
            <w:jc w:val="right"/>
            <w:rPr>
              <w:rFonts w:ascii="Arial" w:hAnsi="Arial" w:cs="Arial"/>
              <w:i/>
            </w:rPr>
          </w:pPr>
          <w:r w:rsidRPr="00B8075D">
            <w:rPr>
              <w:rFonts w:ascii="Arial" w:hAnsi="Arial" w:cs="Arial"/>
              <w:i/>
            </w:rPr>
            <w:t>OP14</w:t>
          </w:r>
        </w:p>
      </w:tc>
    </w:tr>
  </w:tbl>
  <w:p w14:paraId="0F10D3FB" w14:textId="77777777" w:rsidR="003A76CC" w:rsidRDefault="003A7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046B"/>
    <w:multiLevelType w:val="multilevel"/>
    <w:tmpl w:val="A404B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2A742B"/>
    <w:multiLevelType w:val="hybridMultilevel"/>
    <w:tmpl w:val="EC8C4D9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73B47"/>
    <w:multiLevelType w:val="hybridMultilevel"/>
    <w:tmpl w:val="8ACC4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0F3D"/>
    <w:multiLevelType w:val="hybridMultilevel"/>
    <w:tmpl w:val="8904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205A"/>
    <w:multiLevelType w:val="hybridMultilevel"/>
    <w:tmpl w:val="B9069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F6682"/>
    <w:multiLevelType w:val="hybridMultilevel"/>
    <w:tmpl w:val="7F3A3FD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0F">
      <w:start w:val="1"/>
      <w:numFmt w:val="decimal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A71264"/>
    <w:multiLevelType w:val="hybridMultilevel"/>
    <w:tmpl w:val="73F29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C3149"/>
    <w:multiLevelType w:val="hybridMultilevel"/>
    <w:tmpl w:val="0F301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042A5"/>
    <w:multiLevelType w:val="hybridMultilevel"/>
    <w:tmpl w:val="61C2D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E789B"/>
    <w:multiLevelType w:val="hybridMultilevel"/>
    <w:tmpl w:val="5BF2E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0710"/>
    <w:multiLevelType w:val="hybridMultilevel"/>
    <w:tmpl w:val="465E0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D01B8"/>
    <w:multiLevelType w:val="hybridMultilevel"/>
    <w:tmpl w:val="6ADE47A2"/>
    <w:lvl w:ilvl="0" w:tplc="74A4544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1626A4"/>
    <w:multiLevelType w:val="hybridMultilevel"/>
    <w:tmpl w:val="15FE2E6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0AB3F74"/>
    <w:multiLevelType w:val="multilevel"/>
    <w:tmpl w:val="0EA2BD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4" w15:restartNumberingAfterBreak="0">
    <w:nsid w:val="65937474"/>
    <w:multiLevelType w:val="hybridMultilevel"/>
    <w:tmpl w:val="E65E5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C2513"/>
    <w:multiLevelType w:val="hybridMultilevel"/>
    <w:tmpl w:val="2AB257E6"/>
    <w:lvl w:ilvl="0" w:tplc="179AE43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86558"/>
    <w:multiLevelType w:val="hybridMultilevel"/>
    <w:tmpl w:val="8440F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B429A"/>
    <w:multiLevelType w:val="hybridMultilevel"/>
    <w:tmpl w:val="C1881000"/>
    <w:lvl w:ilvl="0" w:tplc="120C9CCC">
      <w:start w:val="1"/>
      <w:numFmt w:val="decimal"/>
      <w:pStyle w:val="List1"/>
      <w:lvlText w:val="%1."/>
      <w:lvlJc w:val="left"/>
      <w:pPr>
        <w:tabs>
          <w:tab w:val="num" w:pos="432"/>
        </w:tabs>
        <w:ind w:left="0" w:firstLine="0"/>
      </w:pPr>
      <w:rPr>
        <w:rFonts w:ascii="Arial" w:hAnsi="Arial" w:hint="default"/>
        <w:b/>
        <w:i w:val="0"/>
        <w:sz w:val="24"/>
        <w:szCs w:val="24"/>
        <w:u w:val="words"/>
      </w:rPr>
    </w:lvl>
    <w:lvl w:ilvl="1" w:tplc="B36230A2">
      <w:numFmt w:val="none"/>
      <w:lvlText w:val=""/>
      <w:lvlJc w:val="left"/>
      <w:pPr>
        <w:tabs>
          <w:tab w:val="num" w:pos="360"/>
        </w:tabs>
      </w:pPr>
    </w:lvl>
    <w:lvl w:ilvl="2" w:tplc="3E64F214">
      <w:numFmt w:val="none"/>
      <w:lvlText w:val=""/>
      <w:lvlJc w:val="left"/>
      <w:pPr>
        <w:tabs>
          <w:tab w:val="num" w:pos="360"/>
        </w:tabs>
      </w:pPr>
    </w:lvl>
    <w:lvl w:ilvl="3" w:tplc="9F283A46">
      <w:numFmt w:val="none"/>
      <w:lvlText w:val=""/>
      <w:lvlJc w:val="left"/>
      <w:pPr>
        <w:tabs>
          <w:tab w:val="num" w:pos="360"/>
        </w:tabs>
      </w:pPr>
    </w:lvl>
    <w:lvl w:ilvl="4" w:tplc="094CF96E">
      <w:numFmt w:val="none"/>
      <w:lvlText w:val=""/>
      <w:lvlJc w:val="left"/>
      <w:pPr>
        <w:tabs>
          <w:tab w:val="num" w:pos="360"/>
        </w:tabs>
      </w:pPr>
    </w:lvl>
    <w:lvl w:ilvl="5" w:tplc="8EE20062">
      <w:numFmt w:val="none"/>
      <w:lvlText w:val=""/>
      <w:lvlJc w:val="left"/>
      <w:pPr>
        <w:tabs>
          <w:tab w:val="num" w:pos="360"/>
        </w:tabs>
      </w:pPr>
    </w:lvl>
    <w:lvl w:ilvl="6" w:tplc="FC84E1E8">
      <w:numFmt w:val="none"/>
      <w:lvlText w:val=""/>
      <w:lvlJc w:val="left"/>
      <w:pPr>
        <w:tabs>
          <w:tab w:val="num" w:pos="360"/>
        </w:tabs>
      </w:pPr>
    </w:lvl>
    <w:lvl w:ilvl="7" w:tplc="45B48590">
      <w:numFmt w:val="none"/>
      <w:lvlText w:val=""/>
      <w:lvlJc w:val="left"/>
      <w:pPr>
        <w:tabs>
          <w:tab w:val="num" w:pos="360"/>
        </w:tabs>
      </w:pPr>
    </w:lvl>
    <w:lvl w:ilvl="8" w:tplc="832EFED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CA77085"/>
    <w:multiLevelType w:val="hybridMultilevel"/>
    <w:tmpl w:val="DC089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065035">
    <w:abstractNumId w:val="17"/>
  </w:num>
  <w:num w:numId="2" w16cid:durableId="293564689">
    <w:abstractNumId w:val="11"/>
  </w:num>
  <w:num w:numId="3" w16cid:durableId="1524247002">
    <w:abstractNumId w:val="15"/>
  </w:num>
  <w:num w:numId="4" w16cid:durableId="1796825672">
    <w:abstractNumId w:val="13"/>
  </w:num>
  <w:num w:numId="5" w16cid:durableId="1620066091">
    <w:abstractNumId w:val="2"/>
  </w:num>
  <w:num w:numId="6" w16cid:durableId="1058818597">
    <w:abstractNumId w:val="3"/>
  </w:num>
  <w:num w:numId="7" w16cid:durableId="1913735399">
    <w:abstractNumId w:val="8"/>
  </w:num>
  <w:num w:numId="8" w16cid:durableId="1762752509">
    <w:abstractNumId w:val="10"/>
  </w:num>
  <w:num w:numId="9" w16cid:durableId="577516056">
    <w:abstractNumId w:val="6"/>
  </w:num>
  <w:num w:numId="10" w16cid:durableId="1745105357">
    <w:abstractNumId w:val="16"/>
  </w:num>
  <w:num w:numId="11" w16cid:durableId="173888650">
    <w:abstractNumId w:val="14"/>
  </w:num>
  <w:num w:numId="12" w16cid:durableId="79377490">
    <w:abstractNumId w:val="7"/>
  </w:num>
  <w:num w:numId="13" w16cid:durableId="1594050342">
    <w:abstractNumId w:val="4"/>
  </w:num>
  <w:num w:numId="14" w16cid:durableId="362246682">
    <w:abstractNumId w:val="0"/>
  </w:num>
  <w:num w:numId="15" w16cid:durableId="103770196">
    <w:abstractNumId w:val="5"/>
  </w:num>
  <w:num w:numId="16" w16cid:durableId="284119696">
    <w:abstractNumId w:val="12"/>
  </w:num>
  <w:num w:numId="17" w16cid:durableId="1074472308">
    <w:abstractNumId w:val="18"/>
  </w:num>
  <w:num w:numId="18" w16cid:durableId="330260514">
    <w:abstractNumId w:val="9"/>
  </w:num>
  <w:num w:numId="19" w16cid:durableId="14655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1B"/>
    <w:rsid w:val="00022A1D"/>
    <w:rsid w:val="00044F27"/>
    <w:rsid w:val="0005243B"/>
    <w:rsid w:val="00062572"/>
    <w:rsid w:val="0008295C"/>
    <w:rsid w:val="000B5629"/>
    <w:rsid w:val="000B774D"/>
    <w:rsid w:val="000D6EA5"/>
    <w:rsid w:val="000E52C5"/>
    <w:rsid w:val="000E5C0F"/>
    <w:rsid w:val="00133E54"/>
    <w:rsid w:val="00134384"/>
    <w:rsid w:val="0013793D"/>
    <w:rsid w:val="001415BE"/>
    <w:rsid w:val="00150BB9"/>
    <w:rsid w:val="00165B83"/>
    <w:rsid w:val="00170DCE"/>
    <w:rsid w:val="001769F8"/>
    <w:rsid w:val="001857B4"/>
    <w:rsid w:val="001C2FEE"/>
    <w:rsid w:val="001F2C4E"/>
    <w:rsid w:val="00263B9C"/>
    <w:rsid w:val="002D7B09"/>
    <w:rsid w:val="002F4ACA"/>
    <w:rsid w:val="00321CE2"/>
    <w:rsid w:val="0032201E"/>
    <w:rsid w:val="0032297C"/>
    <w:rsid w:val="00327216"/>
    <w:rsid w:val="00330B6C"/>
    <w:rsid w:val="00333959"/>
    <w:rsid w:val="00337D16"/>
    <w:rsid w:val="003406D6"/>
    <w:rsid w:val="003512D8"/>
    <w:rsid w:val="00351E99"/>
    <w:rsid w:val="00353FB4"/>
    <w:rsid w:val="003656F6"/>
    <w:rsid w:val="00385A7C"/>
    <w:rsid w:val="00394222"/>
    <w:rsid w:val="003A76CC"/>
    <w:rsid w:val="003B03E1"/>
    <w:rsid w:val="003B18A5"/>
    <w:rsid w:val="003B2389"/>
    <w:rsid w:val="004000A7"/>
    <w:rsid w:val="004078F4"/>
    <w:rsid w:val="00422C3A"/>
    <w:rsid w:val="00456D8D"/>
    <w:rsid w:val="00457167"/>
    <w:rsid w:val="00477D27"/>
    <w:rsid w:val="00477FC3"/>
    <w:rsid w:val="00480DA3"/>
    <w:rsid w:val="004B0234"/>
    <w:rsid w:val="004B24D3"/>
    <w:rsid w:val="004E61DD"/>
    <w:rsid w:val="005319B9"/>
    <w:rsid w:val="00532B46"/>
    <w:rsid w:val="005425DB"/>
    <w:rsid w:val="0059265E"/>
    <w:rsid w:val="00596D08"/>
    <w:rsid w:val="00597C1E"/>
    <w:rsid w:val="005A79F8"/>
    <w:rsid w:val="005B787C"/>
    <w:rsid w:val="005D3942"/>
    <w:rsid w:val="00603ABD"/>
    <w:rsid w:val="006252B3"/>
    <w:rsid w:val="00636181"/>
    <w:rsid w:val="00642CC9"/>
    <w:rsid w:val="00643696"/>
    <w:rsid w:val="00647D92"/>
    <w:rsid w:val="0066120A"/>
    <w:rsid w:val="00662A5C"/>
    <w:rsid w:val="00662BE0"/>
    <w:rsid w:val="00667BCE"/>
    <w:rsid w:val="00675A41"/>
    <w:rsid w:val="0068652D"/>
    <w:rsid w:val="00691992"/>
    <w:rsid w:val="006941DC"/>
    <w:rsid w:val="006A556F"/>
    <w:rsid w:val="006C0EAE"/>
    <w:rsid w:val="006F45E5"/>
    <w:rsid w:val="00720D87"/>
    <w:rsid w:val="00760F60"/>
    <w:rsid w:val="00774639"/>
    <w:rsid w:val="007A51F0"/>
    <w:rsid w:val="007B61CE"/>
    <w:rsid w:val="007C5128"/>
    <w:rsid w:val="007D5E07"/>
    <w:rsid w:val="007E12C7"/>
    <w:rsid w:val="007E2EC9"/>
    <w:rsid w:val="00800747"/>
    <w:rsid w:val="00807C3A"/>
    <w:rsid w:val="0082348F"/>
    <w:rsid w:val="00835570"/>
    <w:rsid w:val="008401D2"/>
    <w:rsid w:val="0086087B"/>
    <w:rsid w:val="0089041A"/>
    <w:rsid w:val="008B1C55"/>
    <w:rsid w:val="008D1852"/>
    <w:rsid w:val="008E616D"/>
    <w:rsid w:val="008E6447"/>
    <w:rsid w:val="008F7691"/>
    <w:rsid w:val="00905A8D"/>
    <w:rsid w:val="0092656D"/>
    <w:rsid w:val="009267E2"/>
    <w:rsid w:val="00936328"/>
    <w:rsid w:val="00951425"/>
    <w:rsid w:val="00964B9C"/>
    <w:rsid w:val="00985807"/>
    <w:rsid w:val="009D0E26"/>
    <w:rsid w:val="009E39AD"/>
    <w:rsid w:val="00A07B06"/>
    <w:rsid w:val="00A21BD7"/>
    <w:rsid w:val="00A426CA"/>
    <w:rsid w:val="00A80DBB"/>
    <w:rsid w:val="00AA0B61"/>
    <w:rsid w:val="00AF467C"/>
    <w:rsid w:val="00B0232D"/>
    <w:rsid w:val="00B02B5C"/>
    <w:rsid w:val="00B02B8A"/>
    <w:rsid w:val="00B050CB"/>
    <w:rsid w:val="00B356DA"/>
    <w:rsid w:val="00B36BDA"/>
    <w:rsid w:val="00B52AEC"/>
    <w:rsid w:val="00B53292"/>
    <w:rsid w:val="00B70DBD"/>
    <w:rsid w:val="00B8075D"/>
    <w:rsid w:val="00B87E81"/>
    <w:rsid w:val="00B90460"/>
    <w:rsid w:val="00B96B02"/>
    <w:rsid w:val="00BB6059"/>
    <w:rsid w:val="00BD7BF4"/>
    <w:rsid w:val="00BF192D"/>
    <w:rsid w:val="00C11AF3"/>
    <w:rsid w:val="00C51C19"/>
    <w:rsid w:val="00C52CBC"/>
    <w:rsid w:val="00C6255D"/>
    <w:rsid w:val="00C67933"/>
    <w:rsid w:val="00C75924"/>
    <w:rsid w:val="00CB1B28"/>
    <w:rsid w:val="00CD0E03"/>
    <w:rsid w:val="00CD5765"/>
    <w:rsid w:val="00D17003"/>
    <w:rsid w:val="00D35385"/>
    <w:rsid w:val="00D35DCF"/>
    <w:rsid w:val="00D849AD"/>
    <w:rsid w:val="00D96BB2"/>
    <w:rsid w:val="00DB0306"/>
    <w:rsid w:val="00DB0D24"/>
    <w:rsid w:val="00DC4E48"/>
    <w:rsid w:val="00DC7C48"/>
    <w:rsid w:val="00DD1591"/>
    <w:rsid w:val="00DD24A2"/>
    <w:rsid w:val="00DD3D3A"/>
    <w:rsid w:val="00DD5435"/>
    <w:rsid w:val="00DD5CAB"/>
    <w:rsid w:val="00DE275D"/>
    <w:rsid w:val="00E5504F"/>
    <w:rsid w:val="00E56C91"/>
    <w:rsid w:val="00E66575"/>
    <w:rsid w:val="00E83980"/>
    <w:rsid w:val="00E86F36"/>
    <w:rsid w:val="00E87328"/>
    <w:rsid w:val="00E94683"/>
    <w:rsid w:val="00E94BCD"/>
    <w:rsid w:val="00EB1570"/>
    <w:rsid w:val="00EC6D77"/>
    <w:rsid w:val="00EE7856"/>
    <w:rsid w:val="00F172CB"/>
    <w:rsid w:val="00F2721B"/>
    <w:rsid w:val="00F31CE6"/>
    <w:rsid w:val="00F61452"/>
    <w:rsid w:val="00F76EC7"/>
    <w:rsid w:val="00F876C5"/>
    <w:rsid w:val="00F90D80"/>
    <w:rsid w:val="00F91E12"/>
    <w:rsid w:val="00F95438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423F2B33"/>
  <w15:docId w15:val="{7860E913-F24C-40F8-9FE5-3ADF7E84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21B"/>
    <w:rPr>
      <w:spacing w:val="-2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2721B"/>
    <w:pPr>
      <w:keepNext/>
      <w:spacing w:before="240" w:after="60"/>
      <w:outlineLvl w:val="0"/>
    </w:pPr>
    <w:rPr>
      <w:rFonts w:ascii="Arial" w:hAnsi="Arial" w:cs="Arial"/>
      <w:b/>
      <w:bCs/>
      <w:color w:val="FF99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21B"/>
    <w:pPr>
      <w:tabs>
        <w:tab w:val="center" w:pos="4320"/>
        <w:tab w:val="right" w:pos="8640"/>
      </w:tabs>
    </w:pPr>
  </w:style>
  <w:style w:type="character" w:customStyle="1" w:styleId="PolicyNumber">
    <w:name w:val="Policy Number"/>
    <w:rsid w:val="00F2721B"/>
    <w:rPr>
      <w:rFonts w:ascii="Arial Rounded MT Bold" w:hAnsi="Arial Rounded MT Bold"/>
      <w:b/>
      <w:dstrike w:val="0"/>
      <w:sz w:val="40"/>
      <w:szCs w:val="40"/>
      <w:vertAlign w:val="baseline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List1">
    <w:name w:val="List1"/>
    <w:basedOn w:val="Normal"/>
    <w:link w:val="List1Char"/>
    <w:rsid w:val="00F2721B"/>
    <w:pPr>
      <w:numPr>
        <w:numId w:val="1"/>
      </w:numPr>
    </w:pPr>
  </w:style>
  <w:style w:type="character" w:customStyle="1" w:styleId="List1Char">
    <w:name w:val="List1 Char"/>
    <w:link w:val="List1"/>
    <w:rsid w:val="00F2721B"/>
    <w:rPr>
      <w:spacing w:val="-2"/>
      <w:sz w:val="24"/>
      <w:lang w:val="en-GB" w:eastAsia="en-US" w:bidi="ar-SA"/>
    </w:rPr>
  </w:style>
  <w:style w:type="character" w:customStyle="1" w:styleId="Heading1Char">
    <w:name w:val="Heading 1 Char"/>
    <w:link w:val="Heading1"/>
    <w:rsid w:val="00F2721B"/>
    <w:rPr>
      <w:rFonts w:ascii="Arial" w:hAnsi="Arial" w:cs="Arial"/>
      <w:b/>
      <w:bCs/>
      <w:color w:val="FF9900"/>
      <w:spacing w:val="-2"/>
      <w:kern w:val="32"/>
      <w:sz w:val="32"/>
      <w:szCs w:val="32"/>
      <w:lang w:val="en-GB" w:eastAsia="en-US" w:bidi="ar-SA"/>
    </w:rPr>
  </w:style>
  <w:style w:type="paragraph" w:styleId="Footer">
    <w:name w:val="footer"/>
    <w:basedOn w:val="Normal"/>
    <w:rsid w:val="00F272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7C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5435"/>
    <w:rPr>
      <w:sz w:val="16"/>
      <w:szCs w:val="16"/>
    </w:rPr>
  </w:style>
  <w:style w:type="paragraph" w:styleId="CommentText">
    <w:name w:val="annotation text"/>
    <w:basedOn w:val="Normal"/>
    <w:semiHidden/>
    <w:rsid w:val="00DD543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D5435"/>
    <w:rPr>
      <w:b/>
      <w:bCs/>
    </w:rPr>
  </w:style>
  <w:style w:type="paragraph" w:styleId="ListParagraph">
    <w:name w:val="List Paragraph"/>
    <w:basedOn w:val="Normal"/>
    <w:uiPriority w:val="34"/>
    <w:qFormat/>
    <w:rsid w:val="00E550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0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431A9-BEDE-4081-9C30-BC102CCA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3</Pages>
  <Words>541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   Payment of Salaries</vt:lpstr>
    </vt:vector>
  </TitlesOfParts>
  <Company>SLSW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OP14 - Referral and Matching of New Placements</dc:title>
  <dc:creator>SLSW</dc:creator>
  <cp:lastModifiedBy>Dominic Spayne</cp:lastModifiedBy>
  <cp:revision>37</cp:revision>
  <cp:lastPrinted>2016-06-10T15:48:00Z</cp:lastPrinted>
  <dcterms:created xsi:type="dcterms:W3CDTF">2016-06-10T15:12:00Z</dcterms:created>
  <dcterms:modified xsi:type="dcterms:W3CDTF">2024-02-21T09:52:00Z</dcterms:modified>
</cp:coreProperties>
</file>